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alibri-Bold" w:hAnsi="Calibri-Bold"/>
          <w:b/>
          <w:sz w:val="28"/>
          <w:szCs w:val="28"/>
          <w:u w:val="single"/>
        </w:rPr>
        <w:t xml:space="preserve">Treasurer’s </w:t>
      </w:r>
      <w:r>
        <w:rPr>
          <w:rFonts w:eastAsia="NSimSun" w:cs="Arial" w:ascii="Calibri-Bold" w:hAnsi="Calibri-Bold"/>
          <w:b/>
          <w:color w:val="auto"/>
          <w:kern w:val="2"/>
          <w:sz w:val="28"/>
          <w:szCs w:val="28"/>
          <w:u w:val="single"/>
          <w:lang w:val="en-US" w:eastAsia="zh-CN" w:bidi="hi-IN"/>
        </w:rPr>
        <w:t>April</w:t>
      </w:r>
      <w:r>
        <w:rPr>
          <w:rFonts w:ascii="Calibri-Bold" w:hAnsi="Calibri-Bold"/>
          <w:b/>
          <w:sz w:val="28"/>
          <w:szCs w:val="28"/>
          <w:u w:val="single"/>
        </w:rPr>
        <w:t xml:space="preserve"> 2020 Report to Congregation</w:t>
      </w:r>
    </w:p>
    <w:p>
      <w:pPr>
        <w:pStyle w:val="Normal"/>
        <w:jc w:val="center"/>
        <w:rPr>
          <w:rFonts w:ascii="Calibri-Bold" w:hAnsi="Calibri-Bold"/>
          <w:b/>
          <w:b/>
          <w:sz w:val="32"/>
        </w:rPr>
      </w:pPr>
      <w:r>
        <w:rPr>
          <w:rFonts w:ascii="Calibri-Bold" w:hAnsi="Calibri-Bold"/>
          <w:b/>
          <w:sz w:val="32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 xml:space="preserve">Our year-to-date pledge collections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total is </w:t>
      </w:r>
      <w:r>
        <w:rPr>
          <w:rFonts w:ascii="Calibri" w:hAnsi="Calibri"/>
          <w:sz w:val="24"/>
        </w:rPr>
        <w:t>$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236,153</w:t>
      </w:r>
      <w:r>
        <w:rPr>
          <w:rFonts w:ascii="Calibri" w:hAnsi="Calibri"/>
          <w:sz w:val="24"/>
        </w:rPr>
        <w:t xml:space="preserve"> with an annual budget of $248,558. That’s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91.8</w:t>
      </w:r>
      <w:r>
        <w:rPr>
          <w:rFonts w:ascii="Calibri" w:hAnsi="Calibri"/>
          <w:sz w:val="24"/>
        </w:rPr>
        <w:t xml:space="preserve">% collected during the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ten</w:t>
      </w:r>
      <w:r>
        <w:rPr>
          <w:rFonts w:ascii="Calibri" w:hAnsi="Calibri"/>
          <w:sz w:val="24"/>
        </w:rPr>
        <w:t xml:space="preserve"> months of this fiscal year, with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83.3</w:t>
      </w:r>
      <w:r>
        <w:rPr>
          <w:rFonts w:ascii="Calibri" w:hAnsi="Calibri"/>
          <w:sz w:val="24"/>
        </w:rPr>
        <w:t xml:space="preserve">% as the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April</w:t>
      </w:r>
      <w:r>
        <w:rPr>
          <w:rFonts w:ascii="Calibri" w:hAnsi="Calibri"/>
          <w:sz w:val="24"/>
        </w:rPr>
        <w:t xml:space="preserve"> target. Pledge collections surprisingly increased to $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16,238</w:t>
      </w:r>
      <w:r>
        <w:rPr>
          <w:rFonts w:ascii="Calibri" w:hAnsi="Calibri"/>
          <w:sz w:val="24"/>
        </w:rPr>
        <w:t xml:space="preserve"> for April,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almost $6,900 more than the collections for the prior month</w:t>
      </w:r>
      <w:r>
        <w:rPr>
          <w:rFonts w:ascii="Calibri" w:hAnsi="Calibri"/>
          <w:sz w:val="24"/>
        </w:rPr>
        <w:t>. Our current year budgeted pledge income appears to be within reach.</w:t>
      </w:r>
    </w:p>
    <w:p>
      <w:pPr>
        <w:pStyle w:val="Normal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 xml:space="preserve">Year-to-date expenses are well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under</w:t>
      </w:r>
      <w:r>
        <w:rPr>
          <w:rFonts w:ascii="Calibri" w:hAnsi="Calibri"/>
          <w:sz w:val="24"/>
        </w:rPr>
        <w:t xml:space="preserve"> budget at $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211,532</w:t>
      </w:r>
      <w:r>
        <w:rPr>
          <w:rFonts w:ascii="Calibri" w:hAnsi="Calibri"/>
          <w:sz w:val="24"/>
        </w:rPr>
        <w:t xml:space="preserve">, or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78.5</w:t>
      </w:r>
      <w:r>
        <w:rPr>
          <w:rFonts w:ascii="Calibri" w:hAnsi="Calibri"/>
          <w:sz w:val="24"/>
        </w:rPr>
        <w:t xml:space="preserve">% of their pro-rated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83.3</w:t>
      </w:r>
      <w:r>
        <w:rPr>
          <w:rFonts w:ascii="Calibri" w:hAnsi="Calibri"/>
          <w:sz w:val="24"/>
        </w:rPr>
        <w:t>% target for April.</w:t>
      </w:r>
    </w:p>
    <w:p>
      <w:pPr>
        <w:pStyle w:val="Normal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 xml:space="preserve">Netting out total budgeted income and expenses,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income slightly</w:t>
      </w:r>
      <w:r>
        <w:rPr>
          <w:rFonts w:ascii="Calibri" w:hAnsi="Calibri"/>
          <w:sz w:val="24"/>
        </w:rPr>
        <w:t xml:space="preserve"> exceeded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expenses</w:t>
      </w:r>
      <w:r>
        <w:rPr>
          <w:rFonts w:ascii="Calibri" w:hAnsi="Calibri"/>
          <w:sz w:val="24"/>
        </w:rPr>
        <w:t xml:space="preserve"> for the month by $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451</w:t>
      </w:r>
      <w:r>
        <w:rPr>
          <w:rFonts w:ascii="Calibri" w:hAnsi="Calibri"/>
          <w:sz w:val="24"/>
        </w:rPr>
        <w:t xml:space="preserve">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I</w:t>
      </w:r>
      <w:r>
        <w:rPr>
          <w:rFonts w:ascii="Calibri" w:hAnsi="Calibri"/>
          <w:sz w:val="24"/>
        </w:rPr>
        <w:t>ncome exceeds expenses by $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28,927</w:t>
      </w:r>
      <w:r>
        <w:rPr>
          <w:rFonts w:ascii="Calibri" w:hAnsi="Calibri"/>
          <w:sz w:val="24"/>
        </w:rPr>
        <w:t xml:space="preserve"> for the year. We will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likely</w:t>
      </w:r>
      <w:r>
        <w:rPr>
          <w:rFonts w:ascii="Calibri" w:hAnsi="Calibri"/>
          <w:sz w:val="24"/>
        </w:rPr>
        <w:t xml:space="preserve"> be in the black for the fiscal year in spite of the COVID-19 pandemic and without receiving a loan/grant from the Payroll Protection Program. As of May 13, 2020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I</w:t>
      </w:r>
      <w:r>
        <w:rPr>
          <w:rFonts w:ascii="Calibri" w:hAnsi="Calibri"/>
          <w:sz w:val="24"/>
        </w:rPr>
        <w:t xml:space="preserve"> have not received any confirmation of approval for the loan/grant.</w:t>
      </w:r>
    </w:p>
    <w:p>
      <w:pPr>
        <w:pStyle w:val="Normal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 xml:space="preserve">Outside the operating budget, April’s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other contributions</w:t>
      </w:r>
      <w:r>
        <w:rPr>
          <w:rFonts w:ascii="Calibri" w:hAnsi="Calibri"/>
          <w:sz w:val="24"/>
        </w:rPr>
        <w:t xml:space="preserve">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benefited numerous recipients: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00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Unrestricted Gifts to UUCT</w:t>
        <w:tab/>
        <w:t>$</w:t>
      </w:r>
      <w:bookmarkStart w:id="0" w:name="__DdeLink__938_3762000812"/>
      <w:bookmarkEnd w:id="0"/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85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15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Minister’s Discretionary Fund</w:t>
        <w:tab/>
        <w:t>$575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00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Music Fund</w:t>
        <w:tab/>
        <w:t>$200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00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Kearney Center</w:t>
        <w:tab/>
        <w:t>$1,947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15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Manna on Meridian</w:t>
        <w:tab/>
        <w:t>$1,010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00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Rethink Energy</w:t>
        <w:tab/>
        <w:t>$1,822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5400" w:leader="none"/>
        </w:tabs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Oasis Center for Women &amp; Girls</w:t>
        <w:tab/>
        <w:t>$25</w:t>
      </w:r>
    </w:p>
    <w:p>
      <w:pPr>
        <w:pStyle w:val="Normal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 xml:space="preserve">The stock market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recovered substantially over the month of April and the balances of our</w:t>
      </w:r>
      <w:r>
        <w:rPr>
          <w:rFonts w:ascii="Calibri" w:hAnsi="Calibri"/>
          <w:sz w:val="24"/>
        </w:rPr>
        <w:t xml:space="preserve"> endowment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accounts increased likewise</w:t>
      </w:r>
      <w:r>
        <w:rPr>
          <w:rFonts w:ascii="Calibri" w:hAnsi="Calibri"/>
          <w:sz w:val="24"/>
        </w:rPr>
        <w:t xml:space="preserve">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In fact, the April 30, 2020 balance of the endowment accounts was about $4,000 greater than on July 1, 2019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in spite of the withdrawal of about $5,850 in December 2019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US" w:eastAsia="zh-CN" w:bidi="hi-IN"/>
        </w:rPr>
        <w:t>.</w:t>
      </w:r>
    </w:p>
    <w:p>
      <w:pPr>
        <w:pStyle w:val="Normal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>Respectfully submitted,</w:t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>Ron Clark</w:t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>Disbursing Treasurer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alibri-Bold">
    <w:charset w:val="01"/>
    <w:family w:val="swiss"/>
    <w:pitch w:val="default"/>
  </w:font>
  <w:font w:name="Calibri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LibreOffice/6.3.5.2$Windows_X86_64 LibreOffice_project/dd0751754f11728f69b42ee2af66670068624673</Application>
  <Pages>1</Pages>
  <Words>251</Words>
  <Characters>1324</Characters>
  <CharactersWithSpaces>1552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2020-01-15T12:41:08Z</dcterms:created>
  <dc:creator>Ron Clark</dc:creator>
  <dc:description/>
  <dc:language>en-US</dc:language>
  <cp:lastModifiedBy>Ron Clark</cp:lastModifiedBy>
  <dcterms:modified xsi:type="dcterms:W3CDTF">2020-05-13T16:51:57Z</dcterms:modified>
  <cp:revision>21</cp:revision>
  <dc:subject/>
  <dc:title/>
</cp:coreProperties>
</file>